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15D5FC36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791D3B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1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DC291B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791D3B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2DC04F05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DC291B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58322FF6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03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="00D110B9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3355" w:type="dxa"/>
          </w:tcPr>
          <w:p w14:paraId="5E18AF9E" w14:textId="347F3AAB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2E4F3A64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Buzău-</w:t>
            </w:r>
            <w:r w:rsidR="009C54A9">
              <w:rPr>
                <w:rFonts w:ascii="Trebuchet MS" w:hAnsi="Trebuchet MS" w:cs="Calibri Light"/>
                <w:b/>
                <w:sz w:val="22"/>
                <w:szCs w:val="22"/>
              </w:rPr>
              <w:t>Ialomiț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Dâmbovița, Prahova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1CA35C9D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PERICOL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259428D1" w14:textId="7F4A473D" w:rsidR="00042569" w:rsidRDefault="008F28E2" w:rsidP="00C72AE8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791D3B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Cricovul Dulce – afluenții aferenți sectorului S.H. Moreni, Roșioara și Seaca – afluenți ai râului Provița</w:t>
            </w:r>
          </w:p>
          <w:p w14:paraId="1CC4D73A" w14:textId="3FB07537" w:rsidR="00C72AE8" w:rsidRPr="00042569" w:rsidRDefault="00C72AE8" w:rsidP="00C72AE8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3B9BB717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738C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04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D110B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8738C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12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3BF10350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COD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 ROȘU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37AE3AC4" w:rsidR="00A33AC8" w:rsidRDefault="009979B1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791D3B">
              <w:rPr>
                <w:rFonts w:ascii="Trebuchet MS" w:hAnsi="Trebuchet MS" w:cs="Calibri Light"/>
                <w:b/>
                <w:sz w:val="22"/>
                <w:szCs w:val="22"/>
              </w:rPr>
              <w:t>PERICOL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</w:t>
            </w:r>
            <w:r w:rsidR="004F08D4" w:rsidRPr="004F08D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:</w:t>
            </w:r>
            <w:r w:rsidR="00DC291B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</w:t>
            </w:r>
            <w:r w:rsidR="00791D3B" w:rsidRPr="00791D3B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Cricovul Dulce – afluenții aferenți sectorului S.H. Moreni, Roșioara și Seaca – afluenți ai râului Provița</w:t>
            </w:r>
            <w:r w:rsidR="00EE32A2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,</w:t>
            </w:r>
            <w:r w:rsidR="00A174D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</w:t>
            </w:r>
            <w:r w:rsidR="00A174D9" w:rsidRPr="00A174D9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județ</w:t>
            </w:r>
            <w:r w:rsidR="00791D3B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e</w:t>
            </w:r>
            <w:r w:rsidR="00583AB5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l</w:t>
            </w:r>
            <w:r w:rsidR="00791D3B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e: Dâmbovița și Prahova</w:t>
            </w:r>
            <w:r w:rsidR="00A174D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.</w:t>
            </w:r>
          </w:p>
          <w:p w14:paraId="3E452CEF" w14:textId="77777777" w:rsidR="00583AB5" w:rsidRDefault="00583AB5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</w:p>
          <w:p w14:paraId="3E616B73" w14:textId="3755ED61" w:rsidR="00C4736D" w:rsidRPr="00040380" w:rsidRDefault="00583AB5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583AB5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75D1C3A2" w14:textId="77777777" w:rsidR="00392773" w:rsidRDefault="00791D3B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Dr. Romulus-Dumitru</w:t>
            </w:r>
          </w:p>
          <w:p w14:paraId="6FE2B040" w14:textId="46718531" w:rsidR="00791D3B" w:rsidRPr="00602389" w:rsidRDefault="00791D3B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COSTACHE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6252" w14:textId="77777777" w:rsidR="00A34438" w:rsidRDefault="00A34438">
      <w:r>
        <w:separator/>
      </w:r>
    </w:p>
  </w:endnote>
  <w:endnote w:type="continuationSeparator" w:id="0">
    <w:p w14:paraId="56F4AEE0" w14:textId="77777777" w:rsidR="00A34438" w:rsidRDefault="00A3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31694E4D" w14:textId="77777777" w:rsidR="003336B8" w:rsidRPr="00B43769" w:rsidRDefault="003336B8" w:rsidP="003336B8">
    <w:pPr>
      <w:widowControl w:val="0"/>
      <w:autoSpaceDE w:val="0"/>
      <w:autoSpaceDN w:val="0"/>
      <w:ind w:left="142"/>
      <w:jc w:val="both"/>
      <w:rPr>
        <w:rFonts w:ascii="Trebuchet MS" w:hAnsi="Trebuchet MS" w:cs="Arial"/>
        <w:sz w:val="16"/>
        <w:szCs w:val="16"/>
        <w:lang w:eastAsia="x-none"/>
      </w:rPr>
    </w:pPr>
    <w:r w:rsidRPr="00B43769">
      <w:rPr>
        <w:rFonts w:ascii="Trebuchet MS" w:hAnsi="Trebuchet MS"/>
        <w:b/>
        <w:sz w:val="16"/>
        <w:szCs w:val="16"/>
        <w:lang w:eastAsia="x-none"/>
      </w:rPr>
      <w:t xml:space="preserve">COD </w:t>
    </w:r>
    <w:r w:rsidRPr="00B43769">
      <w:rPr>
        <w:rFonts w:ascii="Trebuchet MS" w:hAnsi="Trebuchet MS"/>
        <w:b/>
        <w:sz w:val="16"/>
        <w:szCs w:val="16"/>
        <w:lang w:eastAsia="x-none"/>
      </w:rPr>
      <w:t>ROŞU</w:t>
    </w:r>
    <w:r w:rsidRPr="00B43769">
      <w:rPr>
        <w:rFonts w:ascii="Trebuchet MS" w:hAnsi="Trebuchet MS"/>
        <w:sz w:val="16"/>
        <w:szCs w:val="16"/>
        <w:lang w:eastAsia="x-none"/>
      </w:rPr>
      <w:t xml:space="preserve">: </w:t>
    </w:r>
    <w:r w:rsidRPr="00B43769">
      <w:rPr>
        <w:rFonts w:ascii="Trebuchet MS" w:hAnsi="Trebuchet MS" w:cs="Arial"/>
        <w:sz w:val="16"/>
        <w:szCs w:val="16"/>
        <w:lang w:eastAsia="x-none"/>
      </w:rPr>
      <w:t>Risc de inundații majore care poate necesita adoptarea unor măsuri deosebite pentru evacuarea oamenilor şi bunurilor, impunerea de restricţii la folosirea podurilor şi căilor de transport, exploatarea construcţiilor hidrotehnice, altele.</w:t>
    </w:r>
  </w:p>
  <w:p w14:paraId="2FEDBB76" w14:textId="77777777" w:rsidR="003336B8" w:rsidRPr="00B43769" w:rsidRDefault="003336B8" w:rsidP="003336B8">
    <w:pPr>
      <w:widowControl w:val="0"/>
      <w:autoSpaceDE w:val="0"/>
      <w:autoSpaceDN w:val="0"/>
      <w:ind w:left="142"/>
      <w:jc w:val="both"/>
      <w:rPr>
        <w:rFonts w:ascii="Trebuchet MS" w:hAnsi="Trebuchet MS" w:cs="Arial"/>
        <w:sz w:val="16"/>
        <w:szCs w:val="16"/>
        <w:lang w:eastAsia="x-none"/>
      </w:rPr>
    </w:pPr>
    <w:r w:rsidRPr="00B43769">
      <w:rPr>
        <w:rFonts w:ascii="Trebuchet MS" w:hAnsi="Trebuchet MS" w:cs="Arial"/>
        <w:sz w:val="16"/>
        <w:szCs w:val="16"/>
        <w:lang w:eastAsia="x-none"/>
      </w:rPr>
      <w:t>În secţiunile monitorizate hidrometric, se pot produce depășiri semnificative ale COTELOR DE PERICOL / Fazei a III – a de apărare (mai mari de 20-30 cm).  Din cauza intensității majore a fenomenelor hidrologice prevăzute a fi periculoase, se pot înregistra pagube economice însemnate şi poate exista un risc semnificativ pentru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E0D5" w14:textId="77777777" w:rsidR="00A34438" w:rsidRDefault="00A34438">
      <w:r>
        <w:separator/>
      </w:r>
    </w:p>
  </w:footnote>
  <w:footnote w:type="continuationSeparator" w:id="0">
    <w:p w14:paraId="5DCD2058" w14:textId="77777777" w:rsidR="00A34438" w:rsidRDefault="00A3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 xml:space="preserve">Cod </w:t>
    </w:r>
    <w:r w:rsidR="00B00720" w:rsidRPr="00BA1E92">
      <w:rPr>
        <w:rFonts w:ascii="Trebuchet MS" w:hAnsi="Trebuchet MS" w:cs="Arial"/>
        <w:lang w:val="ro-RO"/>
      </w:rPr>
      <w:t>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2218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3E60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00D2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2B42"/>
    <w:rsid w:val="00134A16"/>
    <w:rsid w:val="00134CE4"/>
    <w:rsid w:val="00137A4A"/>
    <w:rsid w:val="00137F64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97EF0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E70DC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2FD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36B8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2773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64616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C3C44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08D4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3AB5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1D3B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38C8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43F9"/>
    <w:rsid w:val="009C54A9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174D9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443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177B9"/>
    <w:rsid w:val="00B2063C"/>
    <w:rsid w:val="00B213CA"/>
    <w:rsid w:val="00B21E06"/>
    <w:rsid w:val="00B23FC0"/>
    <w:rsid w:val="00B253B5"/>
    <w:rsid w:val="00B25909"/>
    <w:rsid w:val="00B31080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2B5F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2AE8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9601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0B9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2250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224E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291B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3BF2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1B12"/>
    <w:rsid w:val="00E939C6"/>
    <w:rsid w:val="00E950A0"/>
    <w:rsid w:val="00EA0CE2"/>
    <w:rsid w:val="00EA143E"/>
    <w:rsid w:val="00EA1C5C"/>
    <w:rsid w:val="00EA3F34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439"/>
    <w:rsid w:val="00EC48AC"/>
    <w:rsid w:val="00EC5168"/>
    <w:rsid w:val="00ED25A0"/>
    <w:rsid w:val="00ED56AA"/>
    <w:rsid w:val="00ED7ADE"/>
    <w:rsid w:val="00ED7DD7"/>
    <w:rsid w:val="00EE0C6C"/>
    <w:rsid w:val="00EE1AB1"/>
    <w:rsid w:val="00EE32A2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14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63B84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35C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Romulus Costache</cp:lastModifiedBy>
  <cp:revision>9</cp:revision>
  <cp:lastPrinted>2026-07-02T11:14:00Z</cp:lastPrinted>
  <dcterms:created xsi:type="dcterms:W3CDTF">2026-07-20T13:19:00Z</dcterms:created>
  <dcterms:modified xsi:type="dcterms:W3CDTF">2026-07-22T00:45:00Z</dcterms:modified>
</cp:coreProperties>
</file>