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1EECA" w14:textId="77777777" w:rsidR="00566F23" w:rsidRDefault="00566F23">
      <w:pPr>
        <w:pStyle w:val="Title"/>
        <w:rPr>
          <w:sz w:val="36"/>
          <w:szCs w:val="36"/>
        </w:rPr>
      </w:pPr>
      <w:bookmarkStart w:id="0" w:name="_heading=h.30j0zll" w:colFirst="0" w:colLast="0"/>
      <w:bookmarkEnd w:id="0"/>
    </w:p>
    <w:p w14:paraId="4F929093" w14:textId="2C93DB53" w:rsidR="00566F23" w:rsidRPr="0027753D" w:rsidRDefault="00000000">
      <w:pPr>
        <w:pStyle w:val="Title"/>
        <w:jc w:val="both"/>
        <w:rPr>
          <w:rFonts w:ascii="Calibri" w:eastAsia="Calibri" w:hAnsi="Calibri" w:cs="Calibri"/>
          <w:b/>
          <w:bCs/>
          <w:sz w:val="44"/>
          <w:szCs w:val="44"/>
        </w:rPr>
      </w:pPr>
      <w:bookmarkStart w:id="1" w:name="_heading=h.1fob9te" w:colFirst="0" w:colLast="0"/>
      <w:bookmarkEnd w:id="1"/>
      <w:r w:rsidRPr="0027753D">
        <w:rPr>
          <w:rFonts w:ascii="Calibri" w:eastAsia="Calibri" w:hAnsi="Calibri" w:cs="Calibri"/>
          <w:b/>
          <w:bCs/>
          <w:sz w:val="32"/>
          <w:szCs w:val="32"/>
        </w:rPr>
        <w:t>DALIA project launches Rivers Revived Call for Associated Regions, inviting local and regional authorities to apply for a chance to secure a grant of up to 100K EUR for river restoration.</w:t>
      </w:r>
    </w:p>
    <w:p w14:paraId="44C14566" w14:textId="77777777" w:rsidR="00566F23" w:rsidRDefault="00566F23">
      <w:pPr>
        <w:jc w:val="both"/>
        <w:rPr>
          <w:sz w:val="18"/>
          <w:szCs w:val="18"/>
        </w:rPr>
      </w:pPr>
    </w:p>
    <w:p w14:paraId="45902668" w14:textId="0F34FE81" w:rsidR="00566F23" w:rsidRDefault="00000000" w:rsidP="00816489">
      <w:pPr>
        <w:ind w:firstLine="720"/>
        <w:jc w:val="both"/>
        <w:rPr>
          <w:rFonts w:ascii="Calibri" w:eastAsia="Calibri" w:hAnsi="Calibri" w:cs="Calibri"/>
        </w:rPr>
      </w:pPr>
      <w:r>
        <w:rPr>
          <w:rFonts w:ascii="Calibri" w:eastAsia="Calibri" w:hAnsi="Calibri" w:cs="Calibri"/>
        </w:rPr>
        <w:t xml:space="preserve">DALIA's Open Call </w:t>
      </w:r>
      <w:hyperlink r:id="rId7">
        <w:r>
          <w:rPr>
            <w:rFonts w:ascii="Calibri" w:eastAsia="Calibri" w:hAnsi="Calibri" w:cs="Calibri"/>
            <w:b/>
            <w:color w:val="1155CC"/>
            <w:u w:val="single"/>
          </w:rPr>
          <w:t>Rivers Revived</w:t>
        </w:r>
      </w:hyperlink>
      <w:r>
        <w:rPr>
          <w:rFonts w:ascii="Calibri" w:eastAsia="Calibri" w:hAnsi="Calibri" w:cs="Calibri"/>
        </w:rPr>
        <w:t xml:space="preserve"> presents a unique opportunity for local and regional authorities from Associated Regions</w:t>
      </w:r>
      <w:r w:rsidRPr="00B65F7F">
        <w:rPr>
          <w:rFonts w:ascii="Calibri" w:eastAsia="Calibri" w:hAnsi="Calibri" w:cs="Calibri"/>
          <w:sz w:val="24"/>
          <w:szCs w:val="24"/>
          <w:vertAlign w:val="superscript"/>
        </w:rPr>
        <w:footnoteReference w:id="1"/>
      </w:r>
      <w:r>
        <w:rPr>
          <w:rFonts w:ascii="Calibri" w:eastAsia="Calibri" w:hAnsi="Calibri" w:cs="Calibri"/>
        </w:rPr>
        <w:t xml:space="preserve"> to participate in groundbreaking initiatives aimed at environmental, societal, and economic transformation. The Call aligns with DALIA's primary objectives, focusing on two key aspects: </w:t>
      </w:r>
      <w:r>
        <w:rPr>
          <w:rFonts w:ascii="Calibri" w:eastAsia="Calibri" w:hAnsi="Calibri" w:cs="Calibri"/>
          <w:b/>
        </w:rPr>
        <w:t>knowledge transfer</w:t>
      </w:r>
      <w:r>
        <w:rPr>
          <w:rFonts w:ascii="Calibri" w:eastAsia="Calibri" w:hAnsi="Calibri" w:cs="Calibri"/>
        </w:rPr>
        <w:t xml:space="preserve"> and </w:t>
      </w:r>
      <w:r w:rsidRPr="002A298B">
        <w:rPr>
          <w:rFonts w:ascii="Calibri" w:eastAsia="Calibri" w:hAnsi="Calibri" w:cs="Calibri"/>
          <w:b/>
          <w:bCs/>
        </w:rPr>
        <w:t>solution</w:t>
      </w:r>
      <w:r>
        <w:rPr>
          <w:rFonts w:ascii="Calibri" w:eastAsia="Calibri" w:hAnsi="Calibri" w:cs="Calibri"/>
        </w:rPr>
        <w:t xml:space="preserve"> </w:t>
      </w:r>
      <w:r>
        <w:rPr>
          <w:rFonts w:ascii="Calibri" w:eastAsia="Calibri" w:hAnsi="Calibri" w:cs="Calibri"/>
          <w:b/>
        </w:rPr>
        <w:t xml:space="preserve">scalability </w:t>
      </w:r>
      <w:r>
        <w:rPr>
          <w:rFonts w:ascii="Calibri" w:eastAsia="Calibri" w:hAnsi="Calibri" w:cs="Calibri"/>
        </w:rPr>
        <w:t xml:space="preserve">for the Danube River </w:t>
      </w:r>
      <w:r w:rsidR="002267D6">
        <w:rPr>
          <w:rFonts w:ascii="Calibri" w:eastAsia="Calibri" w:hAnsi="Calibri" w:cs="Calibri"/>
        </w:rPr>
        <w:t>Basin</w:t>
      </w:r>
      <w:r>
        <w:rPr>
          <w:rFonts w:ascii="Calibri" w:eastAsia="Calibri" w:hAnsi="Calibri" w:cs="Calibri"/>
        </w:rPr>
        <w:t xml:space="preserve">. In this regard, the Call is aiming to </w:t>
      </w:r>
      <w:r>
        <w:rPr>
          <w:rFonts w:ascii="Calibri" w:eastAsia="Calibri" w:hAnsi="Calibri" w:cs="Calibri"/>
          <w:b/>
        </w:rPr>
        <w:t xml:space="preserve">replicate successful initiatives from </w:t>
      </w:r>
      <w:hyperlink r:id="rId8">
        <w:r>
          <w:rPr>
            <w:rFonts w:ascii="Calibri" w:eastAsia="Calibri" w:hAnsi="Calibri" w:cs="Calibri"/>
            <w:b/>
            <w:color w:val="1155CC"/>
            <w:u w:val="single"/>
          </w:rPr>
          <w:t>DALIA pilot sites</w:t>
        </w:r>
      </w:hyperlink>
      <w:hyperlink r:id="rId9">
        <w:r>
          <w:rPr>
            <w:rFonts w:ascii="Calibri" w:eastAsia="Calibri" w:hAnsi="Calibri" w:cs="Calibri"/>
            <w:b/>
            <w:color w:val="1155CC"/>
            <w:u w:val="single"/>
          </w:rPr>
          <w:t xml:space="preserve"> (</w:t>
        </w:r>
      </w:hyperlink>
      <w:hyperlink r:id="rId10">
        <w:r>
          <w:rPr>
            <w:rFonts w:ascii="Calibri" w:eastAsia="Calibri" w:hAnsi="Calibri" w:cs="Calibri"/>
            <w:b/>
            <w:color w:val="1155CC"/>
            <w:u w:val="single"/>
          </w:rPr>
          <w:t>DPs</w:t>
        </w:r>
      </w:hyperlink>
      <w:hyperlink r:id="rId11">
        <w:r>
          <w:rPr>
            <w:rFonts w:ascii="Calibri" w:eastAsia="Calibri" w:hAnsi="Calibri" w:cs="Calibri"/>
            <w:b/>
            <w:color w:val="1155CC"/>
            <w:u w:val="single"/>
          </w:rPr>
          <w:t>)</w:t>
        </w:r>
      </w:hyperlink>
      <w:r>
        <w:rPr>
          <w:rFonts w:ascii="Calibri" w:eastAsia="Calibri" w:hAnsi="Calibri" w:cs="Calibri"/>
        </w:rPr>
        <w:t xml:space="preserve"> into new pilot regions with similar conditions. By engaging local and regional authorities, the project aims to demonstrate the transferability, feasibility, and scalability of solutions for the Danube River.</w:t>
      </w:r>
    </w:p>
    <w:p w14:paraId="461E4124" w14:textId="77777777" w:rsidR="00566F23" w:rsidRDefault="00000000">
      <w:pPr>
        <w:rPr>
          <w:rFonts w:ascii="Calibri" w:eastAsia="Calibri" w:hAnsi="Calibri" w:cs="Calibri"/>
          <w:highlight w:val="yellow"/>
        </w:rPr>
      </w:pPr>
      <w:r>
        <w:rPr>
          <w:rFonts w:ascii="Calibri" w:eastAsia="Calibri" w:hAnsi="Calibri" w:cs="Calibri"/>
        </w:rPr>
        <w:br/>
      </w:r>
      <w:r>
        <w:rPr>
          <w:rFonts w:ascii="Calibri" w:eastAsia="Calibri" w:hAnsi="Calibri" w:cs="Calibri"/>
        </w:rPr>
        <w:br/>
      </w:r>
      <w:r>
        <w:rPr>
          <w:rFonts w:ascii="Calibri" w:eastAsia="Calibri" w:hAnsi="Calibri" w:cs="Calibri"/>
          <w:noProof/>
          <w:highlight w:val="yellow"/>
        </w:rPr>
        <w:drawing>
          <wp:inline distT="114300" distB="114300" distL="114300" distR="114300" wp14:anchorId="7B0D1408" wp14:editId="3FC676F6">
            <wp:extent cx="5943600" cy="2794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943600" cy="2794000"/>
                    </a:xfrm>
                    <a:prstGeom prst="rect">
                      <a:avLst/>
                    </a:prstGeom>
                    <a:ln/>
                  </pic:spPr>
                </pic:pic>
              </a:graphicData>
            </a:graphic>
          </wp:inline>
        </w:drawing>
      </w:r>
    </w:p>
    <w:p w14:paraId="11B5E85C" w14:textId="77777777" w:rsidR="00566F23" w:rsidRDefault="00566F23">
      <w:pPr>
        <w:rPr>
          <w:rFonts w:ascii="Calibri" w:eastAsia="Calibri" w:hAnsi="Calibri" w:cs="Calibri"/>
          <w:highlight w:val="yellow"/>
        </w:rPr>
      </w:pPr>
    </w:p>
    <w:p w14:paraId="0A9FC294" w14:textId="77777777" w:rsidR="00566F23" w:rsidRDefault="00566F23">
      <w:pPr>
        <w:rPr>
          <w:rFonts w:ascii="Calibri" w:eastAsia="Calibri" w:hAnsi="Calibri" w:cs="Calibri"/>
          <w:highlight w:val="yellow"/>
        </w:rPr>
      </w:pPr>
    </w:p>
    <w:p w14:paraId="2DF8613D" w14:textId="77777777" w:rsidR="00566F23" w:rsidRDefault="00566F23">
      <w:pPr>
        <w:jc w:val="center"/>
        <w:rPr>
          <w:rFonts w:ascii="Calibri" w:eastAsia="Calibri" w:hAnsi="Calibri" w:cs="Calibri"/>
          <w:highlight w:val="yellow"/>
        </w:rPr>
      </w:pPr>
    </w:p>
    <w:p w14:paraId="2CB720DA" w14:textId="77777777" w:rsidR="00566F23" w:rsidRDefault="00000000" w:rsidP="003A7E51">
      <w:pPr>
        <w:jc w:val="both"/>
        <w:rPr>
          <w:rFonts w:ascii="Calibri" w:eastAsia="Calibri" w:hAnsi="Calibri" w:cs="Calibri"/>
        </w:rPr>
      </w:pPr>
      <w:r>
        <w:rPr>
          <w:rFonts w:ascii="Calibri" w:eastAsia="Calibri" w:hAnsi="Calibri" w:cs="Calibri"/>
        </w:rPr>
        <w:t xml:space="preserve">Applications for the Rivers Revived Call are </w:t>
      </w:r>
      <w:r>
        <w:rPr>
          <w:rFonts w:ascii="Calibri" w:eastAsia="Calibri" w:hAnsi="Calibri" w:cs="Calibri"/>
          <w:b/>
        </w:rPr>
        <w:t>open until Wednesday, 16th October 2024, at 5 PM CET</w:t>
      </w:r>
      <w:r>
        <w:rPr>
          <w:rFonts w:ascii="Calibri" w:eastAsia="Calibri" w:hAnsi="Calibri" w:cs="Calibri"/>
        </w:rPr>
        <w:t>.</w:t>
      </w:r>
    </w:p>
    <w:p w14:paraId="08740DCF" w14:textId="77777777" w:rsidR="00566F23" w:rsidRDefault="00566F23">
      <w:pPr>
        <w:jc w:val="both"/>
        <w:rPr>
          <w:rFonts w:ascii="Calibri" w:eastAsia="Calibri" w:hAnsi="Calibri" w:cs="Calibri"/>
        </w:rPr>
      </w:pPr>
    </w:p>
    <w:p w14:paraId="67428408" w14:textId="2ECC07C2" w:rsidR="00566F23" w:rsidRDefault="00000000" w:rsidP="00CD18F6">
      <w:pPr>
        <w:spacing w:after="200"/>
        <w:ind w:firstLine="720"/>
        <w:jc w:val="both"/>
        <w:rPr>
          <w:rFonts w:ascii="Calibri" w:eastAsia="Calibri" w:hAnsi="Calibri" w:cs="Calibri"/>
          <w:b/>
        </w:rPr>
      </w:pPr>
      <w:r>
        <w:rPr>
          <w:rFonts w:ascii="Calibri" w:eastAsia="Calibri" w:hAnsi="Calibri" w:cs="Calibri"/>
        </w:rPr>
        <w:t>DALIA expects to fund up to 10 projects from at least 5 different regions.</w:t>
      </w:r>
      <w:r w:rsidR="00125349">
        <w:rPr>
          <w:rFonts w:ascii="Calibri" w:eastAsia="Calibri" w:hAnsi="Calibri" w:cs="Calibri"/>
        </w:rPr>
        <w:t xml:space="preserve"> </w:t>
      </w:r>
      <w:r>
        <w:rPr>
          <w:rFonts w:ascii="Calibri" w:eastAsia="Calibri" w:hAnsi="Calibri" w:cs="Calibri"/>
          <w:b/>
        </w:rPr>
        <w:t>The maximum amount of financial support to each application will be limited to 100,000 EUR.</w:t>
      </w:r>
    </w:p>
    <w:p w14:paraId="7DD00BD5" w14:textId="77777777" w:rsidR="00566F23" w:rsidRDefault="00000000">
      <w:pPr>
        <w:spacing w:after="200"/>
        <w:jc w:val="both"/>
        <w:rPr>
          <w:rFonts w:ascii="Calibri" w:eastAsia="Calibri" w:hAnsi="Calibri" w:cs="Calibri"/>
          <w:b/>
        </w:rPr>
      </w:pPr>
      <w:r>
        <w:rPr>
          <w:rFonts w:ascii="Calibri" w:eastAsia="Calibri" w:hAnsi="Calibri" w:cs="Calibri"/>
          <w:b/>
        </w:rPr>
        <w:t>Join our Q&amp;A Info Webinar:</w:t>
      </w:r>
    </w:p>
    <w:p w14:paraId="0CD18D3E" w14:textId="77777777" w:rsidR="00125349" w:rsidRDefault="00000000" w:rsidP="00CD18F6">
      <w:pPr>
        <w:spacing w:after="200"/>
        <w:ind w:firstLine="720"/>
        <w:jc w:val="both"/>
        <w:rPr>
          <w:rFonts w:ascii="Calibri" w:eastAsia="Calibri" w:hAnsi="Calibri" w:cs="Calibri"/>
          <w:b/>
        </w:rPr>
      </w:pPr>
      <w:r>
        <w:rPr>
          <w:rFonts w:ascii="Calibri" w:eastAsia="Calibri" w:hAnsi="Calibri" w:cs="Calibri"/>
        </w:rPr>
        <w:t>DALIA invites all interested parties to join its</w:t>
      </w:r>
      <w:hyperlink r:id="rId13">
        <w:r>
          <w:rPr>
            <w:rFonts w:ascii="Calibri" w:eastAsia="Calibri" w:hAnsi="Calibri" w:cs="Calibri"/>
            <w:color w:val="1155CC"/>
            <w:u w:val="single"/>
          </w:rPr>
          <w:t xml:space="preserve"> </w:t>
        </w:r>
      </w:hyperlink>
      <w:hyperlink r:id="rId14">
        <w:r>
          <w:rPr>
            <w:rFonts w:ascii="Calibri" w:eastAsia="Calibri" w:hAnsi="Calibri" w:cs="Calibri"/>
            <w:color w:val="1155CC"/>
            <w:u w:val="single"/>
          </w:rPr>
          <w:t>Q&amp;A Info Webinar</w:t>
        </w:r>
      </w:hyperlink>
      <w:r>
        <w:rPr>
          <w:rFonts w:ascii="Calibri" w:eastAsia="Calibri" w:hAnsi="Calibri" w:cs="Calibri"/>
        </w:rPr>
        <w:t xml:space="preserve"> on 18 September 2024, from 11 AM CET to 12:30 PM CET. This webinar will provide further insights into the </w:t>
      </w:r>
      <w:r w:rsidRPr="00DB5B32">
        <w:rPr>
          <w:rFonts w:ascii="Calibri" w:eastAsia="Calibri" w:hAnsi="Calibri" w:cs="Calibri"/>
          <w:b/>
          <w:bCs/>
        </w:rPr>
        <w:t>Rivers Revived Call</w:t>
      </w:r>
      <w:r>
        <w:rPr>
          <w:rFonts w:ascii="Calibri" w:eastAsia="Calibri" w:hAnsi="Calibri" w:cs="Calibri"/>
        </w:rPr>
        <w:t>, including eligibility criteria, application process, and tips for a successful submission. Don't miss this opportunity to get all your questions answered and learn how to maximize your chances of securing funding for your project.</w:t>
      </w:r>
      <w:r>
        <w:rPr>
          <w:rFonts w:ascii="Calibri" w:eastAsia="Calibri" w:hAnsi="Calibri" w:cs="Calibri"/>
          <w:b/>
          <w:highlight w:val="yellow"/>
        </w:rPr>
        <w:br/>
      </w:r>
      <w:r>
        <w:rPr>
          <w:rFonts w:ascii="Calibri" w:eastAsia="Calibri" w:hAnsi="Calibri" w:cs="Calibri"/>
          <w:b/>
        </w:rPr>
        <w:br/>
        <w:t>About the project:</w:t>
      </w:r>
    </w:p>
    <w:p w14:paraId="3162DDEB" w14:textId="62529799" w:rsidR="00566F23" w:rsidRDefault="00000000" w:rsidP="00CD18F6">
      <w:pPr>
        <w:spacing w:after="200"/>
        <w:ind w:firstLine="720"/>
        <w:jc w:val="both"/>
        <w:rPr>
          <w:rFonts w:ascii="Calibri" w:eastAsia="Calibri" w:hAnsi="Calibri" w:cs="Calibri"/>
          <w:b/>
        </w:rPr>
      </w:pPr>
      <w:r>
        <w:rPr>
          <w:rFonts w:ascii="Calibri" w:eastAsia="Calibri" w:hAnsi="Calibri" w:cs="Calibri"/>
        </w:rPr>
        <w:t>DALIA is a 48-month EU project which brings together 22 partners, committed to the environmental, societal, and economic transformation within the Danube River ​and freshwater complexes a</w:t>
      </w:r>
      <w:r w:rsidR="00D64985">
        <w:rPr>
          <w:rFonts w:ascii="Calibri" w:eastAsia="Calibri" w:hAnsi="Calibri" w:cs="Calibri"/>
        </w:rPr>
        <w:t>lso</w:t>
      </w:r>
      <w:r>
        <w:rPr>
          <w:rFonts w:ascii="Calibri" w:eastAsia="Calibri" w:hAnsi="Calibri" w:cs="Calibri"/>
        </w:rPr>
        <w:t xml:space="preserve"> supporting the new EU Mission</w:t>
      </w:r>
      <w:r w:rsidR="00D64985">
        <w:rPr>
          <w:rFonts w:ascii="Calibri" w:eastAsia="Calibri" w:hAnsi="Calibri" w:cs="Calibri"/>
        </w:rPr>
        <w:t>:</w:t>
      </w:r>
      <w:r>
        <w:rPr>
          <w:rFonts w:ascii="Calibri" w:eastAsia="Calibri" w:hAnsi="Calibri" w:cs="Calibri"/>
        </w:rPr>
        <w:t xml:space="preserve"> </w:t>
      </w:r>
      <w:r w:rsidRPr="00B8123C">
        <w:rPr>
          <w:rFonts w:ascii="Calibri" w:eastAsia="Calibri" w:hAnsi="Calibri" w:cs="Calibri"/>
          <w:b/>
          <w:bCs/>
        </w:rPr>
        <w:t>Restore our Ocean and Waters by 2030.</w:t>
      </w:r>
      <w:r>
        <w:rPr>
          <w:rFonts w:ascii="Calibri" w:eastAsia="Calibri" w:hAnsi="Calibri" w:cs="Calibri"/>
        </w:rPr>
        <w:br/>
      </w:r>
    </w:p>
    <w:p w14:paraId="38E85DCF" w14:textId="77777777" w:rsidR="00566F23" w:rsidRDefault="00000000">
      <w:pPr>
        <w:rPr>
          <w:rFonts w:ascii="Calibri" w:eastAsia="Calibri" w:hAnsi="Calibri" w:cs="Calibri"/>
          <w:b/>
        </w:rPr>
      </w:pPr>
      <w:r>
        <w:rPr>
          <w:rFonts w:ascii="Calibri" w:eastAsia="Calibri" w:hAnsi="Calibri" w:cs="Calibri"/>
        </w:rPr>
        <w:t>For more information regarding the Open Call, please contact:</w:t>
      </w:r>
      <w:r>
        <w:rPr>
          <w:rFonts w:ascii="Calibri" w:eastAsia="Calibri" w:hAnsi="Calibri" w:cs="Calibri"/>
        </w:rPr>
        <w:br/>
      </w:r>
      <w:hyperlink r:id="rId15">
        <w:r>
          <w:rPr>
            <w:rFonts w:ascii="Calibri" w:eastAsia="Calibri" w:hAnsi="Calibri" w:cs="Calibri"/>
            <w:color w:val="1155CC"/>
            <w:u w:val="single"/>
          </w:rPr>
          <w:t>opencall@dalia-danube.eu</w:t>
        </w:r>
      </w:hyperlink>
    </w:p>
    <w:p w14:paraId="45639515" w14:textId="77777777" w:rsidR="00566F23" w:rsidRDefault="00000000">
      <w:pPr>
        <w:spacing w:after="200"/>
        <w:rPr>
          <w:rFonts w:ascii="Calibri" w:eastAsia="Calibri" w:hAnsi="Calibri" w:cs="Calibri"/>
          <w:b/>
        </w:rPr>
      </w:pPr>
      <w:r>
        <w:rPr>
          <w:rFonts w:ascii="Calibri" w:eastAsia="Calibri" w:hAnsi="Calibri" w:cs="Calibri"/>
        </w:rPr>
        <w:t xml:space="preserve"> </w:t>
      </w:r>
      <w:r>
        <w:rPr>
          <w:rFonts w:ascii="Calibri" w:eastAsia="Calibri" w:hAnsi="Calibri" w:cs="Calibri"/>
        </w:rPr>
        <w:br/>
      </w:r>
      <w:r>
        <w:rPr>
          <w:rFonts w:ascii="Calibri" w:eastAsia="Calibri" w:hAnsi="Calibri" w:cs="Calibri"/>
        </w:rPr>
        <w:br/>
      </w:r>
      <w:r>
        <w:rPr>
          <w:rFonts w:ascii="Calibri" w:eastAsia="Calibri" w:hAnsi="Calibri" w:cs="Calibri"/>
          <w:b/>
        </w:rPr>
        <w:t>Social Media Channels</w:t>
      </w:r>
    </w:p>
    <w:p w14:paraId="185B1A07" w14:textId="77777777" w:rsidR="00566F23" w:rsidRDefault="00000000">
      <w:pPr>
        <w:spacing w:after="200"/>
        <w:rPr>
          <w:rFonts w:ascii="Calibri" w:eastAsia="Calibri" w:hAnsi="Calibri" w:cs="Calibri"/>
        </w:rPr>
      </w:pPr>
      <w:r>
        <w:rPr>
          <w:rFonts w:ascii="Calibri" w:eastAsia="Calibri" w:hAnsi="Calibri" w:cs="Calibri"/>
          <w:highlight w:val="yellow"/>
        </w:rPr>
        <w:br/>
      </w:r>
      <w:r>
        <w:rPr>
          <w:rFonts w:ascii="Calibri" w:eastAsia="Calibri" w:hAnsi="Calibri" w:cs="Calibri"/>
        </w:rPr>
        <w:t xml:space="preserve">Facebook: </w:t>
      </w:r>
      <w:hyperlink r:id="rId16">
        <w:r>
          <w:rPr>
            <w:rFonts w:ascii="Calibri" w:eastAsia="Calibri" w:hAnsi="Calibri" w:cs="Calibri"/>
            <w:color w:val="1155CC"/>
            <w:u w:val="single"/>
          </w:rPr>
          <w:t>https://www.facebook.com/people/DALIA-Danube-Lighthouse/61551901064363/</w:t>
        </w:r>
      </w:hyperlink>
    </w:p>
    <w:p w14:paraId="7A023862" w14:textId="77777777" w:rsidR="00566F23" w:rsidRDefault="00000000">
      <w:pPr>
        <w:spacing w:after="200"/>
        <w:rPr>
          <w:rFonts w:ascii="Calibri" w:eastAsia="Calibri" w:hAnsi="Calibri" w:cs="Calibri"/>
        </w:rPr>
      </w:pPr>
      <w:r>
        <w:rPr>
          <w:rFonts w:ascii="Calibri" w:eastAsia="Calibri" w:hAnsi="Calibri" w:cs="Calibri"/>
        </w:rPr>
        <w:t xml:space="preserve">X: </w:t>
      </w:r>
      <w:hyperlink r:id="rId17">
        <w:r>
          <w:rPr>
            <w:rFonts w:ascii="Calibri" w:eastAsia="Calibri" w:hAnsi="Calibri" w:cs="Calibri"/>
            <w:color w:val="1155CC"/>
            <w:u w:val="single"/>
          </w:rPr>
          <w:t>https://twitter.com/DALIA_Project</w:t>
        </w:r>
      </w:hyperlink>
    </w:p>
    <w:p w14:paraId="423A107F" w14:textId="77777777" w:rsidR="00566F23" w:rsidRDefault="00000000">
      <w:pPr>
        <w:spacing w:after="200"/>
        <w:rPr>
          <w:rFonts w:ascii="Calibri" w:eastAsia="Calibri" w:hAnsi="Calibri" w:cs="Calibri"/>
        </w:rPr>
      </w:pPr>
      <w:r>
        <w:rPr>
          <w:rFonts w:ascii="Calibri" w:eastAsia="Calibri" w:hAnsi="Calibri" w:cs="Calibri"/>
        </w:rPr>
        <w:t xml:space="preserve">LinkedIn: </w:t>
      </w:r>
      <w:hyperlink r:id="rId18">
        <w:r>
          <w:rPr>
            <w:rFonts w:ascii="Calibri" w:eastAsia="Calibri" w:hAnsi="Calibri" w:cs="Calibri"/>
            <w:color w:val="1155CC"/>
            <w:u w:val="single"/>
          </w:rPr>
          <w:t>https://www.linkedin.com/company/dalia-danube-lighthouse/</w:t>
        </w:r>
      </w:hyperlink>
      <w:r>
        <w:rPr>
          <w:rFonts w:ascii="Calibri" w:eastAsia="Calibri" w:hAnsi="Calibri" w:cs="Calibri"/>
        </w:rPr>
        <w:t xml:space="preserve"> </w:t>
      </w:r>
    </w:p>
    <w:p w14:paraId="4897AC95" w14:textId="77777777" w:rsidR="00566F23" w:rsidRDefault="00566F23">
      <w:pPr>
        <w:spacing w:after="200"/>
        <w:rPr>
          <w:rFonts w:ascii="Calibri" w:eastAsia="Calibri" w:hAnsi="Calibri" w:cs="Calibri"/>
          <w:highlight w:val="yellow"/>
        </w:rPr>
      </w:pPr>
    </w:p>
    <w:p w14:paraId="7DC49ECD" w14:textId="77777777" w:rsidR="00566F23" w:rsidRDefault="00566F23">
      <w:pPr>
        <w:spacing w:after="200"/>
        <w:rPr>
          <w:rFonts w:ascii="Calibri" w:eastAsia="Calibri" w:hAnsi="Calibri" w:cs="Calibri"/>
          <w:highlight w:val="yellow"/>
        </w:rPr>
      </w:pPr>
    </w:p>
    <w:sectPr w:rsidR="00566F23">
      <w:headerReference w:type="default"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67601" w14:textId="77777777" w:rsidR="00121A39" w:rsidRDefault="00121A39">
      <w:pPr>
        <w:spacing w:line="240" w:lineRule="auto"/>
      </w:pPr>
      <w:r>
        <w:separator/>
      </w:r>
    </w:p>
  </w:endnote>
  <w:endnote w:type="continuationSeparator" w:id="0">
    <w:p w14:paraId="2271438B" w14:textId="77777777" w:rsidR="00121A39" w:rsidRDefault="00121A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7B942" w14:textId="77777777" w:rsidR="00566F23" w:rsidRDefault="00000000">
    <w:pPr>
      <w:widowControl w:val="0"/>
      <w:spacing w:line="240" w:lineRule="auto"/>
      <w:rPr>
        <w:color w:val="1A171A"/>
        <w:sz w:val="16"/>
        <w:szCs w:val="16"/>
      </w:rPr>
    </w:pPr>
    <w:r>
      <w:rPr>
        <w:color w:val="1A171A"/>
        <w:sz w:val="16"/>
        <w:szCs w:val="16"/>
      </w:rPr>
      <w:t xml:space="preserve"> </w:t>
    </w:r>
  </w:p>
  <w:sdt>
    <w:sdtPr>
      <w:tag w:val="goog_rdk_0"/>
      <w:id w:val="-913471816"/>
      <w:lock w:val="contentLocked"/>
    </w:sdtPr>
    <w:sdtContent>
      <w:tbl>
        <w:tblPr>
          <w:tblStyle w:val="a"/>
          <w:tblW w:w="936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735"/>
          <w:gridCol w:w="8625"/>
        </w:tblGrid>
        <w:tr w:rsidR="00566F23" w14:paraId="4EF21166" w14:textId="77777777">
          <w:tc>
            <w:tcPr>
              <w:tcW w:w="735" w:type="dxa"/>
              <w:shd w:val="clear" w:color="auto" w:fill="auto"/>
              <w:tcMar>
                <w:top w:w="100" w:type="dxa"/>
                <w:left w:w="100" w:type="dxa"/>
                <w:bottom w:w="100" w:type="dxa"/>
                <w:right w:w="100" w:type="dxa"/>
              </w:tcMar>
            </w:tcPr>
            <w:p w14:paraId="153AFB6F" w14:textId="77777777" w:rsidR="00566F23" w:rsidRDefault="00000000">
              <w:pPr>
                <w:widowControl w:val="0"/>
                <w:spacing w:line="240" w:lineRule="auto"/>
                <w:rPr>
                  <w:color w:val="1A171A"/>
                  <w:sz w:val="16"/>
                  <w:szCs w:val="16"/>
                </w:rPr>
              </w:pPr>
              <w:r>
                <w:rPr>
                  <w:noProof/>
                  <w:color w:val="1A171A"/>
                  <w:sz w:val="16"/>
                  <w:szCs w:val="16"/>
                </w:rPr>
                <w:drawing>
                  <wp:inline distT="19050" distB="19050" distL="19050" distR="19050" wp14:anchorId="33D764C9" wp14:editId="69423DB9">
                    <wp:extent cx="280988" cy="190500"/>
                    <wp:effectExtent l="9525" t="9525" r="9525" b="9525"/>
                    <wp:docPr id="3" name="image3.jpg" descr="Drapeau UE.JPG"/>
                    <wp:cNvGraphicFramePr/>
                    <a:graphic xmlns:a="http://schemas.openxmlformats.org/drawingml/2006/main">
                      <a:graphicData uri="http://schemas.openxmlformats.org/drawingml/2006/picture">
                        <pic:pic xmlns:pic="http://schemas.openxmlformats.org/drawingml/2006/picture">
                          <pic:nvPicPr>
                            <pic:cNvPr id="0" name="image3.jpg" descr="Drapeau UE.JPG"/>
                            <pic:cNvPicPr preferRelativeResize="0"/>
                          </pic:nvPicPr>
                          <pic:blipFill>
                            <a:blip r:embed="rId1"/>
                            <a:srcRect/>
                            <a:stretch>
                              <a:fillRect/>
                            </a:stretch>
                          </pic:blipFill>
                          <pic:spPr>
                            <a:xfrm>
                              <a:off x="0" y="0"/>
                              <a:ext cx="280988" cy="190500"/>
                            </a:xfrm>
                            <a:prstGeom prst="rect">
                              <a:avLst/>
                            </a:prstGeom>
                            <a:ln w="9525">
                              <a:solidFill>
                                <a:srgbClr val="FFFFFF"/>
                              </a:solidFill>
                              <a:prstDash val="solid"/>
                            </a:ln>
                          </pic:spPr>
                        </pic:pic>
                      </a:graphicData>
                    </a:graphic>
                  </wp:inline>
                </w:drawing>
              </w:r>
            </w:p>
          </w:tc>
          <w:tc>
            <w:tcPr>
              <w:tcW w:w="8625" w:type="dxa"/>
              <w:shd w:val="clear" w:color="auto" w:fill="auto"/>
              <w:tcMar>
                <w:top w:w="100" w:type="dxa"/>
                <w:left w:w="100" w:type="dxa"/>
                <w:bottom w:w="100" w:type="dxa"/>
                <w:right w:w="100" w:type="dxa"/>
              </w:tcMar>
            </w:tcPr>
            <w:p w14:paraId="12CC9EBA" w14:textId="77777777" w:rsidR="00566F23" w:rsidRDefault="00000000">
              <w:pPr>
                <w:widowControl w:val="0"/>
                <w:spacing w:line="240" w:lineRule="auto"/>
                <w:rPr>
                  <w:color w:val="1A171A"/>
                  <w:sz w:val="16"/>
                  <w:szCs w:val="16"/>
                </w:rPr>
              </w:pPr>
              <w:r>
                <w:rPr>
                  <w:color w:val="1A171A"/>
                  <w:sz w:val="16"/>
                  <w:szCs w:val="16"/>
                </w:rPr>
                <w:t>Funded by the European Union. Views and opinions expressed are however those of the author(s) only and do not  necessarily express those of the European Union or the CINEA. Neither the European Union nor the granting authority can be held responsible for them.</w:t>
              </w:r>
            </w:p>
          </w:tc>
        </w:tr>
      </w:tbl>
    </w:sdtContent>
  </w:sdt>
  <w:p w14:paraId="37924900" w14:textId="77777777" w:rsidR="00566F23" w:rsidRDefault="00566F23">
    <w:pPr>
      <w:widowControl w:val="0"/>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FBFD5" w14:textId="77777777" w:rsidR="00121A39" w:rsidRDefault="00121A39">
      <w:pPr>
        <w:spacing w:line="240" w:lineRule="auto"/>
      </w:pPr>
      <w:r>
        <w:separator/>
      </w:r>
    </w:p>
  </w:footnote>
  <w:footnote w:type="continuationSeparator" w:id="0">
    <w:p w14:paraId="55485A69" w14:textId="77777777" w:rsidR="00121A39" w:rsidRDefault="00121A39">
      <w:pPr>
        <w:spacing w:line="240" w:lineRule="auto"/>
      </w:pPr>
      <w:r>
        <w:continuationSeparator/>
      </w:r>
    </w:p>
  </w:footnote>
  <w:footnote w:id="1">
    <w:p w14:paraId="2D46BFB8" w14:textId="2904BB11" w:rsidR="00566F23" w:rsidRPr="0055592D" w:rsidRDefault="00000000" w:rsidP="0055592D">
      <w:pPr>
        <w:spacing w:line="240" w:lineRule="auto"/>
        <w:jc w:val="both"/>
        <w:rPr>
          <w:rFonts w:asciiTheme="majorHAnsi" w:hAnsiTheme="majorHAnsi" w:cstheme="majorHAnsi"/>
          <w:b/>
          <w:bCs/>
          <w:sz w:val="24"/>
          <w:szCs w:val="24"/>
        </w:rPr>
      </w:pPr>
      <w:bookmarkStart w:id="2" w:name="_Hlk174518587"/>
      <w:r w:rsidRPr="0055592D">
        <w:rPr>
          <w:rFonts w:asciiTheme="majorHAnsi" w:hAnsiTheme="majorHAnsi" w:cstheme="majorHAnsi"/>
          <w:b/>
          <w:bCs/>
          <w:sz w:val="24"/>
          <w:szCs w:val="24"/>
          <w:vertAlign w:val="superscript"/>
        </w:rPr>
        <w:footnoteRef/>
      </w:r>
      <w:r w:rsidRPr="0055592D">
        <w:rPr>
          <w:rFonts w:asciiTheme="majorHAnsi" w:hAnsiTheme="majorHAnsi" w:cstheme="majorHAnsi"/>
          <w:b/>
          <w:bCs/>
          <w:sz w:val="24"/>
          <w:szCs w:val="24"/>
          <w:highlight w:val="white"/>
        </w:rPr>
        <w:t>The list of eligible countries can be found at</w:t>
      </w:r>
      <w:r w:rsidR="0055592D">
        <w:rPr>
          <w:rFonts w:asciiTheme="majorHAnsi" w:hAnsiTheme="majorHAnsi" w:cstheme="majorHAnsi"/>
          <w:b/>
          <w:bCs/>
          <w:sz w:val="24"/>
          <w:szCs w:val="24"/>
          <w:highlight w:val="white"/>
        </w:rPr>
        <w:t>:</w:t>
      </w:r>
      <w:bookmarkStart w:id="3" w:name="_Hlk174518888"/>
      <w:r w:rsidR="0055592D">
        <w:rPr>
          <w:rFonts w:asciiTheme="majorHAnsi" w:hAnsiTheme="majorHAnsi" w:cstheme="majorHAnsi"/>
          <w:b/>
          <w:bCs/>
          <w:sz w:val="24"/>
          <w:szCs w:val="24"/>
        </w:rPr>
        <w:t xml:space="preserve"> </w:t>
      </w:r>
      <w:hyperlink r:id="rId1" w:history="1">
        <w:r w:rsidR="00A16686" w:rsidRPr="00C41908">
          <w:rPr>
            <w:rStyle w:val="Hyperlink"/>
            <w:rFonts w:asciiTheme="majorHAnsi" w:hAnsiTheme="majorHAnsi" w:cstheme="majorHAnsi"/>
            <w:b/>
            <w:bCs/>
            <w:sz w:val="24"/>
            <w:szCs w:val="24"/>
            <w:highlight w:val="white"/>
          </w:rPr>
          <w:t>https://www.dalia-danube.eu/index.php/opencall#</w:t>
        </w:r>
      </w:hyperlink>
      <w:r w:rsidRPr="0055592D">
        <w:rPr>
          <w:rFonts w:asciiTheme="majorHAnsi" w:hAnsiTheme="majorHAnsi" w:cstheme="majorHAnsi"/>
          <w:b/>
          <w:bCs/>
          <w:color w:val="777777"/>
          <w:sz w:val="24"/>
          <w:szCs w:val="24"/>
          <w:highlight w:val="white"/>
        </w:rPr>
        <w:t xml:space="preserve"> </w:t>
      </w:r>
      <w:bookmarkEnd w:id="3"/>
    </w:p>
    <w:bookmarkEnd w:id="2"/>
    <w:p w14:paraId="0E35C3B3" w14:textId="77777777" w:rsidR="00566F23" w:rsidRDefault="00566F23">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39416" w14:textId="77777777" w:rsidR="00566F23" w:rsidRDefault="00000000">
    <w:r>
      <w:rPr>
        <w:noProof/>
      </w:rPr>
      <w:drawing>
        <wp:inline distT="114300" distB="114300" distL="114300" distR="114300" wp14:anchorId="20C5E06C" wp14:editId="623F5CC9">
          <wp:extent cx="1033463" cy="102708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33463" cy="102708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F23"/>
    <w:rsid w:val="00086253"/>
    <w:rsid w:val="00121A39"/>
    <w:rsid w:val="00125349"/>
    <w:rsid w:val="00167CEB"/>
    <w:rsid w:val="00206434"/>
    <w:rsid w:val="002267D6"/>
    <w:rsid w:val="0027753D"/>
    <w:rsid w:val="002A298B"/>
    <w:rsid w:val="003858C7"/>
    <w:rsid w:val="003A7E51"/>
    <w:rsid w:val="003C2C8C"/>
    <w:rsid w:val="004E07AD"/>
    <w:rsid w:val="0055592D"/>
    <w:rsid w:val="00566F23"/>
    <w:rsid w:val="00665A18"/>
    <w:rsid w:val="00786410"/>
    <w:rsid w:val="00816489"/>
    <w:rsid w:val="00843721"/>
    <w:rsid w:val="00851379"/>
    <w:rsid w:val="00860AC4"/>
    <w:rsid w:val="00972C05"/>
    <w:rsid w:val="00A16686"/>
    <w:rsid w:val="00AD1395"/>
    <w:rsid w:val="00B65F7F"/>
    <w:rsid w:val="00B734E9"/>
    <w:rsid w:val="00B8123C"/>
    <w:rsid w:val="00BD4A97"/>
    <w:rsid w:val="00C507F3"/>
    <w:rsid w:val="00CD18F6"/>
    <w:rsid w:val="00D64985"/>
    <w:rsid w:val="00DB5B32"/>
    <w:rsid w:val="00E37D98"/>
    <w:rsid w:val="00FA7A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5E193"/>
  <w15:docId w15:val="{96C5F180-B65E-4E8B-9F39-B4090A0F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5592D"/>
    <w:rPr>
      <w:color w:val="0000FF" w:themeColor="hyperlink"/>
      <w:u w:val="single"/>
    </w:rPr>
  </w:style>
  <w:style w:type="character" w:styleId="UnresolvedMention">
    <w:name w:val="Unresolved Mention"/>
    <w:basedOn w:val="DefaultParagraphFont"/>
    <w:uiPriority w:val="99"/>
    <w:semiHidden/>
    <w:unhideWhenUsed/>
    <w:rsid w:val="00555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kms.dalia-danube.eu/pilot-sites/" TargetMode="External"/><Relationship Id="rId13" Type="http://schemas.openxmlformats.org/officeDocument/2006/relationships/hyperlink" Target="https://eu01web.zoom.us/webinar/register/WN_w-jkUJXZRdKG7qZPWIWS7A" TargetMode="External"/><Relationship Id="rId18" Type="http://schemas.openxmlformats.org/officeDocument/2006/relationships/hyperlink" Target="https://www.linkedin.com/company/dalia-danube-lighthous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dalia-danube.eu/index.php/opencall" TargetMode="External"/><Relationship Id="rId12" Type="http://schemas.openxmlformats.org/officeDocument/2006/relationships/image" Target="media/image1.png"/><Relationship Id="rId17" Type="http://schemas.openxmlformats.org/officeDocument/2006/relationships/hyperlink" Target="https://twitter.com/DALIA_Project" TargetMode="External"/><Relationship Id="rId2" Type="http://schemas.openxmlformats.org/officeDocument/2006/relationships/styles" Target="styles.xml"/><Relationship Id="rId16" Type="http://schemas.openxmlformats.org/officeDocument/2006/relationships/hyperlink" Target="https://www.facebook.com/people/DALIA-Danube-Lighthouse/6155190106436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kms.dalia-danube.eu/pilot-sites/" TargetMode="External"/><Relationship Id="rId5" Type="http://schemas.openxmlformats.org/officeDocument/2006/relationships/footnotes" Target="footnotes.xml"/><Relationship Id="rId15" Type="http://schemas.openxmlformats.org/officeDocument/2006/relationships/hyperlink" Target="mailto:opencall@dalia-danube.eu" TargetMode="External"/><Relationship Id="rId10" Type="http://schemas.openxmlformats.org/officeDocument/2006/relationships/hyperlink" Target="https://kms.dalia-danube.eu/pilot-sit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ms.dalia-danube.eu/pilot-sites/" TargetMode="External"/><Relationship Id="rId14" Type="http://schemas.openxmlformats.org/officeDocument/2006/relationships/hyperlink" Target="https://eu01web.zoom.us/webinar/register/WN_w-jkUJXZRdKG7qZPWIWS7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www.dalia-danube.eu/index.php/openca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zWO2Ylkc+5a2a8BQ4jGlKD67dg==">CgMxLjAaHwoBMBIaChgICVIUChJ0YWJsZS5uajdrZ2cyMjdza2cyCGguZ2pkZ3hzMgloLjMwajB6bGwyCWguMWZvYjl0ZTgAciExa0tidk9nYUF0Um9zR1dGak1CZ0Z0dEhySHp6cW9FMVQ=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Ana-Maria Agiu</dc:creator>
  <cp:lastModifiedBy>Ana-Maria Agiu</cp:lastModifiedBy>
  <cp:revision>2</cp:revision>
  <dcterms:created xsi:type="dcterms:W3CDTF">2024-08-14T11:15:00Z</dcterms:created>
  <dcterms:modified xsi:type="dcterms:W3CDTF">2024-08-14T11:15:00Z</dcterms:modified>
</cp:coreProperties>
</file>