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FF5D1" w14:textId="5D9A0FB3" w:rsidR="009436A5" w:rsidRDefault="009436A5" w:rsidP="009436A5">
      <w:pPr>
        <w:spacing w:after="0" w:line="240" w:lineRule="auto"/>
        <w:ind w:left="39"/>
        <w:rPr>
          <w:rFonts w:ascii="Arial" w:eastAsia="Arial" w:hAnsi="Arial"/>
          <w:b/>
          <w:color w:val="000000"/>
          <w:u w:val="single"/>
        </w:rPr>
      </w:pPr>
      <w:bookmarkStart w:id="0" w:name="_GoBack"/>
      <w:bookmarkEnd w:id="0"/>
      <w:r>
        <w:rPr>
          <w:rFonts w:ascii="Arial" w:eastAsia="Arial" w:hAnsi="Arial"/>
          <w:b/>
          <w:color w:val="000000"/>
          <w:u w:val="single"/>
        </w:rPr>
        <w:t>Situația hidrologică în 5 decembrie 2022</w:t>
      </w:r>
    </w:p>
    <w:p w14:paraId="7A591E4A" w14:textId="77777777" w:rsidR="009436A5" w:rsidRDefault="009436A5" w:rsidP="009436A5">
      <w:pPr>
        <w:spacing w:after="0" w:line="240" w:lineRule="auto"/>
        <w:ind w:left="39"/>
      </w:pPr>
    </w:p>
    <w:p w14:paraId="64363CDF" w14:textId="77777777" w:rsidR="009436A5" w:rsidRDefault="009436A5" w:rsidP="009436A5">
      <w:pPr>
        <w:pStyle w:val="EmptyCellLayoutStyle"/>
        <w:tabs>
          <w:tab w:val="left" w:pos="56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CA3113" w14:textId="77777777" w:rsidR="009436A5" w:rsidRDefault="009436A5" w:rsidP="009436A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C95541" w14:textId="77777777" w:rsidR="009436A5" w:rsidRDefault="009436A5" w:rsidP="009436A5">
      <w:pPr>
        <w:spacing w:after="0" w:line="240" w:lineRule="auto"/>
        <w:ind w:left="39"/>
      </w:pPr>
      <w:r>
        <w:rPr>
          <w:sz w:val="2"/>
        </w:rPr>
        <w:tab/>
      </w:r>
      <w:r>
        <w:rPr>
          <w:rFonts w:ascii="Arial" w:eastAsia="Arial" w:hAnsi="Arial"/>
          <w:b/>
          <w:color w:val="000000"/>
        </w:rPr>
        <w:t>Rauri:</w:t>
      </w:r>
    </w:p>
    <w:p w14:paraId="78D89705" w14:textId="77777777" w:rsidR="009436A5" w:rsidRDefault="009436A5" w:rsidP="009436A5">
      <w:pPr>
        <w:pStyle w:val="EmptyCellLayoutStyle"/>
        <w:tabs>
          <w:tab w:val="left" w:pos="56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26970D" w14:textId="77777777" w:rsidR="009436A5" w:rsidRDefault="009436A5" w:rsidP="009436A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7D877D" w14:textId="77777777" w:rsidR="009436A5" w:rsidRDefault="009436A5" w:rsidP="009436A5">
      <w:pPr>
        <w:spacing w:after="0" w:line="240" w:lineRule="auto"/>
        <w:ind w:left="39"/>
      </w:pPr>
      <w:r>
        <w:rPr>
          <w:sz w:val="2"/>
        </w:rPr>
        <w:tab/>
      </w:r>
      <w:r>
        <w:rPr>
          <w:rFonts w:ascii="Arial" w:eastAsia="Arial" w:hAnsi="Arial"/>
          <w:color w:val="000000"/>
        </w:rPr>
        <w:t>Debitele au fost în general staționare, exceptând râurile din bazinele hidrografice: Vişeu, Iza, Tur, Someș, Crasna, Barcău, Crișuri, Mureș, Bega, Timiș, Bârzava, Caraș, Nera, Cerna, cursul Ialomiței, cursurile superioare ale Oltului și Prutului, unde au fost în uşoară scădere și cursul mijlociu și inferior al Siretului unde au fost în creștere datorită propagării.</w:t>
      </w:r>
      <w:r>
        <w:rPr>
          <w:rFonts w:ascii="Arial" w:eastAsia="Arial" w:hAnsi="Arial"/>
          <w:color w:val="000000"/>
        </w:rPr>
        <w:br/>
        <w:t xml:space="preserve"> Creșteri ușoare de niveluri și debite s-au înregistrat pe unele râuri mici din bazinele Crișului Negru și Crișului Alb datorită precipitațiilor, slab cantitativ, căzute în interval.</w:t>
      </w:r>
      <w:r>
        <w:rPr>
          <w:rFonts w:ascii="Arial" w:eastAsia="Arial" w:hAnsi="Arial"/>
          <w:color w:val="000000"/>
        </w:rPr>
        <w:br/>
        <w:t>Debitele se situează în general la valori sub mediile multianuale lunare, cu coeficienți moduli cuprinși între 30-80% din normalele lunare, mai mari (în jurul și peste normalele lunare) pe râurile din bazinele hidrografice: Vișeu, Târnave, bazinul superior al Mureșului și tot cursul acestuia, Suceava, Moldova, Trotuș (exceptând Tazlăul), bazinul superior și mijlociu al Bistriței (afluent al Siretului) și mai mici (sub 30% din mediile multianuale lunare) pe râurile din bazinele hidrografice:Rm. Sărat, Bârlad, bazinul superior al Tazlăului, pe unii afluenți din bazinul Prutului și din bazinul superior al Argeșului şi pe cursul inferior al Bistriței.</w:t>
      </w:r>
      <w:r>
        <w:rPr>
          <w:rFonts w:ascii="Arial" w:eastAsia="Arial" w:hAnsi="Arial"/>
          <w:color w:val="000000"/>
        </w:rPr>
        <w:br/>
        <w:t>Formațiunile de gheață (gheață la mal), prezente pe unele râuri din bazinul superior al Bistriței au fost în diminuare restrângere și eliminare.</w:t>
      </w:r>
      <w:r>
        <w:rPr>
          <w:rFonts w:ascii="Arial" w:eastAsia="Arial" w:hAnsi="Arial"/>
          <w:color w:val="000000"/>
        </w:rPr>
        <w:br/>
        <w:t>Nivelurile pe râuri la stațiile hidrometrice se situează sub COTELE DE ATENȚIE.</w:t>
      </w:r>
      <w:r>
        <w:rPr>
          <w:rFonts w:ascii="Arial" w:eastAsia="Arial" w:hAnsi="Arial"/>
          <w:color w:val="000000"/>
        </w:rPr>
        <w:br/>
      </w:r>
    </w:p>
    <w:p w14:paraId="49C3C856" w14:textId="77777777" w:rsidR="009436A5" w:rsidRDefault="009436A5" w:rsidP="009436A5">
      <w:pPr>
        <w:pStyle w:val="EmptyCellLayoutStyle"/>
        <w:tabs>
          <w:tab w:val="left" w:pos="56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</w:p>
    <w:p w14:paraId="76E963E1" w14:textId="77777777" w:rsidR="009436A5" w:rsidRDefault="009436A5" w:rsidP="009436A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A9AA5E" w14:textId="77777777" w:rsidR="009436A5" w:rsidRDefault="009436A5" w:rsidP="009436A5">
      <w:pPr>
        <w:spacing w:after="0" w:line="240" w:lineRule="auto"/>
        <w:ind w:left="39"/>
      </w:pPr>
      <w:r>
        <w:rPr>
          <w:sz w:val="2"/>
        </w:rPr>
        <w:tab/>
      </w:r>
      <w:r>
        <w:rPr>
          <w:rFonts w:ascii="Arial" w:eastAsia="Arial" w:hAnsi="Arial"/>
          <w:b/>
          <w:color w:val="000000"/>
        </w:rPr>
        <w:t>Dunare:</w:t>
      </w:r>
    </w:p>
    <w:p w14:paraId="71F9CD42" w14:textId="77777777" w:rsidR="009436A5" w:rsidRDefault="009436A5" w:rsidP="009436A5">
      <w:pPr>
        <w:pStyle w:val="EmptyCellLayoutStyle"/>
        <w:tabs>
          <w:tab w:val="left" w:pos="56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445996" w14:textId="77777777" w:rsidR="009436A5" w:rsidRDefault="009436A5" w:rsidP="009436A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2D85AB" w14:textId="77777777" w:rsidR="009436A5" w:rsidRDefault="009436A5" w:rsidP="009436A5">
      <w:pPr>
        <w:spacing w:after="0" w:line="240" w:lineRule="auto"/>
        <w:ind w:left="39"/>
      </w:pPr>
      <w:r>
        <w:rPr>
          <w:sz w:val="2"/>
        </w:rPr>
        <w:tab/>
      </w:r>
      <w:r>
        <w:rPr>
          <w:rFonts w:ascii="Arial" w:eastAsia="Arial" w:hAnsi="Arial"/>
          <w:color w:val="000000"/>
        </w:rPr>
        <w:t>Debitul la intrarea în ţară (secţiunea Baziaş) în intervalul 04 - 05.12.2022 a fost în scădere, având valoarea de 4600 m3/s, sub media multianuală a lunii decembrie (5200 m3/s).</w:t>
      </w:r>
      <w:r>
        <w:rPr>
          <w:rFonts w:ascii="Arial" w:eastAsia="Arial" w:hAnsi="Arial"/>
          <w:color w:val="000000"/>
        </w:rPr>
        <w:br/>
        <w:t xml:space="preserve">În aval de Porţile de Fier debitele au fost în scădere pe sectorul Gruia - Vadu Oii, staționare pe sectorul Brăila - Galați și în creștere pe sectorul Isaccea - Tulcea. </w:t>
      </w:r>
      <w:r>
        <w:rPr>
          <w:rFonts w:ascii="Arial" w:eastAsia="Arial" w:hAnsi="Arial"/>
          <w:color w:val="000000"/>
        </w:rPr>
        <w:br/>
      </w:r>
    </w:p>
    <w:p w14:paraId="516DB11C" w14:textId="77777777" w:rsidR="009436A5" w:rsidRDefault="009436A5" w:rsidP="009436A5">
      <w:pPr>
        <w:pStyle w:val="EmptyCellLayoutStyle"/>
        <w:tabs>
          <w:tab w:val="left" w:pos="56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</w:p>
    <w:p w14:paraId="78305DA7" w14:textId="77777777" w:rsidR="009436A5" w:rsidRDefault="009436A5" w:rsidP="009436A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85D1BE" w14:textId="77777777" w:rsidR="009436A5" w:rsidRDefault="009436A5" w:rsidP="009436A5">
      <w:pPr>
        <w:pStyle w:val="EmptyCellLayoutStyle"/>
        <w:tabs>
          <w:tab w:val="left" w:pos="56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</w:p>
    <w:p w14:paraId="12CC4C74" w14:textId="77777777" w:rsidR="009436A5" w:rsidRDefault="009436A5" w:rsidP="009436A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9DBD4E" w14:textId="77777777" w:rsidR="009436A5" w:rsidRDefault="009436A5" w:rsidP="009436A5">
      <w:pPr>
        <w:spacing w:after="0" w:line="240" w:lineRule="auto"/>
        <w:ind w:left="39"/>
      </w:pPr>
      <w:r>
        <w:rPr>
          <w:sz w:val="2"/>
        </w:rPr>
        <w:tab/>
      </w:r>
      <w:r>
        <w:rPr>
          <w:rFonts w:ascii="Arial" w:eastAsia="Arial" w:hAnsi="Arial"/>
          <w:b/>
          <w:color w:val="000000"/>
        </w:rPr>
        <w:t>Prognoza rauri</w:t>
      </w:r>
    </w:p>
    <w:p w14:paraId="387437E5" w14:textId="77777777" w:rsidR="009436A5" w:rsidRDefault="009436A5" w:rsidP="009436A5">
      <w:pPr>
        <w:pStyle w:val="EmptyCellLayoutStyle"/>
        <w:tabs>
          <w:tab w:val="left" w:pos="56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912EDF" w14:textId="77777777" w:rsidR="009436A5" w:rsidRDefault="009436A5" w:rsidP="009436A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C00352" w14:textId="77777777" w:rsidR="009436A5" w:rsidRDefault="009436A5" w:rsidP="009436A5">
      <w:pPr>
        <w:spacing w:after="0" w:line="240" w:lineRule="auto"/>
        <w:ind w:left="39"/>
      </w:pPr>
      <w:r>
        <w:rPr>
          <w:sz w:val="2"/>
        </w:rPr>
        <w:tab/>
      </w:r>
      <w:r>
        <w:rPr>
          <w:rFonts w:ascii="Arial" w:eastAsia="Arial" w:hAnsi="Arial"/>
          <w:color w:val="000000"/>
        </w:rPr>
        <w:t>Debitele vor fi în general staționare, exceptând râurile din bazinele hidrografice: Vişeu, Iza, Tur, Someș, Crasna, Barcău, Crișuri, Mureș, Bega, Timiș, Bârzava, Caraș, Nera și Cerna unde vor fi în uşoară scădere.</w:t>
      </w:r>
      <w:r>
        <w:rPr>
          <w:rFonts w:ascii="Arial" w:eastAsia="Arial" w:hAnsi="Arial"/>
          <w:color w:val="000000"/>
        </w:rPr>
        <w:br/>
        <w:t>Sunt posibile ușoare creșteri de niveluri și debite pe unele râuri mici din sudul și estul țării, datorită precipitațiilor, slab cantitativ, prognozate.</w:t>
      </w:r>
      <w:r>
        <w:rPr>
          <w:rFonts w:ascii="Arial" w:eastAsia="Arial" w:hAnsi="Arial"/>
          <w:color w:val="000000"/>
        </w:rPr>
        <w:br/>
        <w:t>Formațiunile de gheață vor fi în diminuare, restrângere și eliminare.</w:t>
      </w:r>
      <w:r>
        <w:rPr>
          <w:rFonts w:ascii="Arial" w:eastAsia="Arial" w:hAnsi="Arial"/>
          <w:color w:val="000000"/>
        </w:rPr>
        <w:br/>
        <w:t>Nivelurile pe râuri la stațiile hidrometrice se vor situa sub COTELE DE ATENȚIE.</w:t>
      </w:r>
      <w:r>
        <w:rPr>
          <w:rFonts w:ascii="Arial" w:eastAsia="Arial" w:hAnsi="Arial"/>
          <w:color w:val="000000"/>
        </w:rPr>
        <w:br/>
      </w:r>
    </w:p>
    <w:p w14:paraId="524C2041" w14:textId="77777777" w:rsidR="009436A5" w:rsidRDefault="009436A5" w:rsidP="009436A5">
      <w:pPr>
        <w:pStyle w:val="EmptyCellLayoutStyle"/>
        <w:tabs>
          <w:tab w:val="left" w:pos="56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</w:p>
    <w:p w14:paraId="4D7E31AF" w14:textId="77777777" w:rsidR="009436A5" w:rsidRDefault="009436A5" w:rsidP="009436A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44D8C4" w14:textId="77777777" w:rsidR="009436A5" w:rsidRDefault="009436A5" w:rsidP="009436A5">
      <w:pPr>
        <w:spacing w:after="0" w:line="240" w:lineRule="auto"/>
        <w:ind w:left="39"/>
      </w:pPr>
      <w:r>
        <w:rPr>
          <w:sz w:val="2"/>
        </w:rPr>
        <w:tab/>
      </w:r>
      <w:r>
        <w:rPr>
          <w:rFonts w:ascii="Arial" w:eastAsia="Arial" w:hAnsi="Arial"/>
          <w:b/>
          <w:color w:val="000000"/>
        </w:rPr>
        <w:t>Prognoza Dunare</w:t>
      </w:r>
    </w:p>
    <w:p w14:paraId="553CE15F" w14:textId="77777777" w:rsidR="009436A5" w:rsidRDefault="009436A5" w:rsidP="009436A5">
      <w:pPr>
        <w:pStyle w:val="EmptyCellLayoutStyle"/>
        <w:tabs>
          <w:tab w:val="left" w:pos="56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9ED141" w14:textId="77777777" w:rsidR="009436A5" w:rsidRDefault="009436A5" w:rsidP="009436A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DE3FFE" w14:textId="36CE78FD" w:rsidR="00B45A01" w:rsidRDefault="009436A5" w:rsidP="009436A5">
      <w:r>
        <w:rPr>
          <w:sz w:val="2"/>
        </w:rPr>
        <w:tab/>
      </w:r>
      <w:r>
        <w:rPr>
          <w:rFonts w:ascii="Arial" w:eastAsia="Arial" w:hAnsi="Arial"/>
          <w:color w:val="000000"/>
        </w:rPr>
        <w:t>Debitul la intrarea în țară (secțiunea Baziaș) va fi în scădere (4300 m3/s).</w:t>
      </w:r>
      <w:r>
        <w:rPr>
          <w:rFonts w:ascii="Arial" w:eastAsia="Arial" w:hAnsi="Arial"/>
          <w:color w:val="000000"/>
        </w:rPr>
        <w:br/>
        <w:t xml:space="preserve">În aval de Porțile de Fier debitele vor fi în scădere. </w:t>
      </w:r>
      <w:r>
        <w:rPr>
          <w:rFonts w:ascii="Arial" w:eastAsia="Arial" w:hAnsi="Arial"/>
          <w:color w:val="000000"/>
        </w:rPr>
        <w:br/>
      </w:r>
    </w:p>
    <w:sectPr w:rsidR="00B4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5"/>
    <w:rsid w:val="00140A9D"/>
    <w:rsid w:val="009436A5"/>
    <w:rsid w:val="00B4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E385"/>
  <w15:chartTrackingRefBased/>
  <w15:docId w15:val="{B52BE876-0921-4235-BB93-17EF6AC7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9436A5"/>
    <w:rPr>
      <w:rFonts w:ascii="Times New Roman" w:eastAsia="Times New Roman" w:hAnsi="Times New Roman" w:cs="Times New Roman"/>
      <w:sz w:val="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razvan.bogzianu</dc:creator>
  <cp:keywords/>
  <dc:description/>
  <cp:lastModifiedBy>ROMANIA</cp:lastModifiedBy>
  <cp:revision>2</cp:revision>
  <dcterms:created xsi:type="dcterms:W3CDTF">2022-12-15T10:44:00Z</dcterms:created>
  <dcterms:modified xsi:type="dcterms:W3CDTF">2022-12-15T10:44:00Z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bda77eca-574c-4d4f-9bc8-d58840bd1323</vt:lpwstr>
  </property>
</Properties>
</file>